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82127" w14:textId="7FC2952B" w:rsidR="00C3119C" w:rsidRPr="009F76A0" w:rsidRDefault="00C3119C" w:rsidP="00BB6193">
      <w:pPr>
        <w:jc w:val="right"/>
        <w:rPr>
          <w:rFonts w:asciiTheme="minorHAnsi" w:hAnsiTheme="minorHAnsi" w:cstheme="minorHAnsi"/>
        </w:rPr>
      </w:pPr>
      <w:r w:rsidRPr="009F76A0">
        <w:rPr>
          <w:rFonts w:asciiTheme="minorHAnsi" w:hAnsiTheme="minorHAnsi" w:cstheme="minorHAnsi"/>
        </w:rPr>
        <w:t xml:space="preserve">Wrocław, </w:t>
      </w:r>
      <w:r w:rsidR="003A5C1A">
        <w:rPr>
          <w:rFonts w:asciiTheme="minorHAnsi" w:hAnsiTheme="minorHAnsi" w:cstheme="minorHAnsi"/>
        </w:rPr>
        <w:t>3</w:t>
      </w:r>
      <w:r w:rsidRPr="009F76A0">
        <w:rPr>
          <w:rFonts w:asciiTheme="minorHAnsi" w:hAnsiTheme="minorHAnsi" w:cstheme="minorHAnsi"/>
        </w:rPr>
        <w:t xml:space="preserve"> </w:t>
      </w:r>
      <w:r w:rsidR="003A5C1A">
        <w:rPr>
          <w:rFonts w:asciiTheme="minorHAnsi" w:hAnsiTheme="minorHAnsi" w:cstheme="minorHAnsi"/>
        </w:rPr>
        <w:t>listopad</w:t>
      </w:r>
      <w:r w:rsidR="00B66E55">
        <w:rPr>
          <w:rFonts w:asciiTheme="minorHAnsi" w:hAnsiTheme="minorHAnsi" w:cstheme="minorHAnsi"/>
        </w:rPr>
        <w:t>a</w:t>
      </w:r>
      <w:r w:rsidRPr="009F76A0">
        <w:rPr>
          <w:rFonts w:asciiTheme="minorHAnsi" w:hAnsiTheme="minorHAnsi" w:cstheme="minorHAnsi"/>
        </w:rPr>
        <w:t xml:space="preserve"> 202</w:t>
      </w:r>
      <w:r w:rsidR="00C238AD">
        <w:rPr>
          <w:rFonts w:asciiTheme="minorHAnsi" w:hAnsiTheme="minorHAnsi" w:cstheme="minorHAnsi"/>
        </w:rPr>
        <w:t>6</w:t>
      </w:r>
      <w:r w:rsidRPr="009F76A0">
        <w:rPr>
          <w:rFonts w:asciiTheme="minorHAnsi" w:hAnsiTheme="minorHAnsi" w:cstheme="minorHAnsi"/>
        </w:rPr>
        <w:t xml:space="preserve"> roku</w:t>
      </w:r>
    </w:p>
    <w:p w14:paraId="3BC36FFE" w14:textId="58D455F6" w:rsidR="00C3119C" w:rsidRPr="009F76A0" w:rsidRDefault="00C3119C" w:rsidP="00381369">
      <w:pPr>
        <w:jc w:val="center"/>
        <w:rPr>
          <w:rFonts w:asciiTheme="minorHAnsi" w:hAnsiTheme="minorHAnsi" w:cstheme="minorHAnsi"/>
          <w:b/>
        </w:rPr>
      </w:pPr>
    </w:p>
    <w:p w14:paraId="64F2B4FA" w14:textId="77777777" w:rsidR="00556BBF" w:rsidRPr="009F76A0" w:rsidRDefault="00556BBF" w:rsidP="00381369">
      <w:pPr>
        <w:jc w:val="center"/>
        <w:rPr>
          <w:rFonts w:asciiTheme="minorHAnsi" w:hAnsiTheme="minorHAnsi" w:cstheme="minorHAnsi"/>
          <w:b/>
        </w:rPr>
      </w:pPr>
    </w:p>
    <w:p w14:paraId="54B93F91" w14:textId="24DC8ABE" w:rsidR="00381369" w:rsidRPr="009F76A0" w:rsidRDefault="00381369" w:rsidP="00C3119C">
      <w:pPr>
        <w:spacing w:line="320" w:lineRule="atLeast"/>
        <w:jc w:val="center"/>
        <w:rPr>
          <w:rFonts w:asciiTheme="minorHAnsi" w:hAnsiTheme="minorHAnsi" w:cstheme="minorHAnsi"/>
          <w:b/>
        </w:rPr>
      </w:pPr>
      <w:r w:rsidRPr="009F76A0">
        <w:rPr>
          <w:rFonts w:asciiTheme="minorHAnsi" w:hAnsiTheme="minorHAnsi" w:cstheme="minorHAnsi"/>
          <w:b/>
        </w:rPr>
        <w:t>ZARZĄDZENIE</w:t>
      </w:r>
    </w:p>
    <w:p w14:paraId="61C881EE" w14:textId="77777777" w:rsidR="00381369" w:rsidRPr="009F76A0" w:rsidRDefault="00381369" w:rsidP="00C3119C">
      <w:pPr>
        <w:spacing w:line="320" w:lineRule="atLeast"/>
        <w:jc w:val="center"/>
        <w:rPr>
          <w:rFonts w:asciiTheme="minorHAnsi" w:hAnsiTheme="minorHAnsi" w:cstheme="minorHAnsi"/>
          <w:b/>
        </w:rPr>
      </w:pPr>
      <w:r w:rsidRPr="009F76A0">
        <w:rPr>
          <w:rFonts w:asciiTheme="minorHAnsi" w:hAnsiTheme="minorHAnsi" w:cstheme="minorHAnsi"/>
          <w:b/>
        </w:rPr>
        <w:t>Dziekana Wydziału Budownictwa Lądowego i Wodnego</w:t>
      </w:r>
    </w:p>
    <w:p w14:paraId="642D62A6" w14:textId="77777777" w:rsidR="00381369" w:rsidRPr="009F76A0" w:rsidRDefault="00381369" w:rsidP="00C3119C">
      <w:pPr>
        <w:spacing w:line="320" w:lineRule="atLeast"/>
        <w:jc w:val="center"/>
        <w:rPr>
          <w:rFonts w:asciiTheme="minorHAnsi" w:hAnsiTheme="minorHAnsi" w:cstheme="minorHAnsi"/>
          <w:b/>
        </w:rPr>
      </w:pPr>
      <w:r w:rsidRPr="009F76A0">
        <w:rPr>
          <w:rFonts w:asciiTheme="minorHAnsi" w:hAnsiTheme="minorHAnsi" w:cstheme="minorHAnsi"/>
          <w:b/>
        </w:rPr>
        <w:t>Politechniki Wrocławskiej</w:t>
      </w:r>
    </w:p>
    <w:p w14:paraId="3C2E5651" w14:textId="3FEB1745" w:rsidR="00381369" w:rsidRPr="009F76A0" w:rsidRDefault="00381369" w:rsidP="00C3119C">
      <w:pPr>
        <w:spacing w:after="120" w:line="276" w:lineRule="auto"/>
        <w:jc w:val="center"/>
        <w:rPr>
          <w:rFonts w:asciiTheme="minorHAnsi" w:hAnsiTheme="minorHAnsi" w:cstheme="minorHAnsi"/>
          <w:b/>
        </w:rPr>
      </w:pPr>
      <w:bookmarkStart w:id="0" w:name="_Hlk127815020"/>
      <w:r w:rsidRPr="009F76A0">
        <w:rPr>
          <w:rFonts w:asciiTheme="minorHAnsi" w:hAnsiTheme="minorHAnsi" w:cstheme="minorHAnsi"/>
          <w:b/>
        </w:rPr>
        <w:t>Nr W02/</w:t>
      </w:r>
      <w:r w:rsidR="003A5C1A">
        <w:rPr>
          <w:rFonts w:asciiTheme="minorHAnsi" w:hAnsiTheme="minorHAnsi" w:cstheme="minorHAnsi"/>
          <w:b/>
        </w:rPr>
        <w:t>13</w:t>
      </w:r>
      <w:r w:rsidRPr="009F76A0">
        <w:rPr>
          <w:rFonts w:asciiTheme="minorHAnsi" w:hAnsiTheme="minorHAnsi" w:cstheme="minorHAnsi"/>
          <w:b/>
        </w:rPr>
        <w:t>/202</w:t>
      </w:r>
      <w:r w:rsidR="00FF0A95">
        <w:rPr>
          <w:rFonts w:asciiTheme="minorHAnsi" w:hAnsiTheme="minorHAnsi" w:cstheme="minorHAnsi"/>
          <w:b/>
        </w:rPr>
        <w:t>4</w:t>
      </w:r>
      <w:r w:rsidRPr="009F76A0">
        <w:rPr>
          <w:rFonts w:asciiTheme="minorHAnsi" w:hAnsiTheme="minorHAnsi" w:cstheme="minorHAnsi"/>
          <w:b/>
        </w:rPr>
        <w:t>-202</w:t>
      </w:r>
      <w:r w:rsidR="00FF0A95">
        <w:rPr>
          <w:rFonts w:asciiTheme="minorHAnsi" w:hAnsiTheme="minorHAnsi" w:cstheme="minorHAnsi"/>
          <w:b/>
        </w:rPr>
        <w:t>8</w:t>
      </w:r>
    </w:p>
    <w:p w14:paraId="7BD1C7FD" w14:textId="75EDB1D2" w:rsidR="00556BBF" w:rsidRPr="009F76A0" w:rsidRDefault="00556BBF" w:rsidP="00C3119C">
      <w:pPr>
        <w:spacing w:after="120" w:line="276" w:lineRule="auto"/>
        <w:jc w:val="center"/>
        <w:rPr>
          <w:rFonts w:asciiTheme="minorHAnsi" w:hAnsiTheme="minorHAnsi" w:cstheme="minorHAnsi"/>
          <w:b/>
        </w:rPr>
      </w:pPr>
    </w:p>
    <w:bookmarkEnd w:id="0"/>
    <w:p w14:paraId="5A8028C7" w14:textId="77777777" w:rsidR="003A5C1A" w:rsidRDefault="003A5C1A" w:rsidP="003A5C1A">
      <w:pPr>
        <w:keepLines/>
        <w:spacing w:after="200" w:line="252" w:lineRule="auto"/>
        <w:jc w:val="center"/>
        <w:rPr>
          <w:rFonts w:eastAsia="MS Mincho"/>
        </w:rPr>
      </w:pPr>
      <w:r w:rsidRPr="00CB3C20">
        <w:rPr>
          <w:rFonts w:eastAsia="MS Mincho"/>
        </w:rPr>
        <w:t>w sprawie zasad przenoszenia i uznawania punktów ECTS z dotychczasowego dorobku akademickiego studentów kierunku Budownictwo</w:t>
      </w:r>
    </w:p>
    <w:p w14:paraId="4B1B62A9" w14:textId="77777777" w:rsidR="003A5C1A" w:rsidRPr="00CB3C20" w:rsidRDefault="003A5C1A" w:rsidP="003A5C1A">
      <w:pPr>
        <w:keepLines/>
        <w:spacing w:after="200" w:line="252" w:lineRule="auto"/>
        <w:jc w:val="center"/>
        <w:rPr>
          <w:rFonts w:eastAsia="MS Mincho"/>
        </w:rPr>
      </w:pPr>
    </w:p>
    <w:p w14:paraId="01A93D34" w14:textId="7071C968" w:rsidR="003A5C1A" w:rsidRDefault="003A5C1A" w:rsidP="003A5C1A">
      <w:pPr>
        <w:keepLines/>
        <w:spacing w:after="80" w:line="252" w:lineRule="auto"/>
        <w:jc w:val="both"/>
        <w:rPr>
          <w:rFonts w:eastAsia="MS Mincho"/>
        </w:rPr>
      </w:pPr>
      <w:r w:rsidRPr="00CB3C20">
        <w:rPr>
          <w:rFonts w:eastAsia="MS Mincho"/>
        </w:rPr>
        <w:t>Na podstawie § 15 ust. 1 Regulaminu studiów na Politechnice Wrocławskiej, ustalam, co następuje:</w:t>
      </w:r>
    </w:p>
    <w:p w14:paraId="733DD500" w14:textId="77777777" w:rsidR="003A5C1A" w:rsidRPr="00CB3C20" w:rsidRDefault="003A5C1A" w:rsidP="003A5C1A">
      <w:pPr>
        <w:keepLines/>
        <w:spacing w:after="80" w:line="252" w:lineRule="auto"/>
        <w:jc w:val="both"/>
        <w:rPr>
          <w:rFonts w:eastAsia="MS Mincho"/>
        </w:rPr>
      </w:pPr>
    </w:p>
    <w:p w14:paraId="549D9E60" w14:textId="77777777" w:rsidR="003A5C1A" w:rsidRPr="00CB3C20" w:rsidRDefault="003A5C1A" w:rsidP="003A5C1A">
      <w:pPr>
        <w:keepLines/>
        <w:spacing w:before="120" w:after="60" w:line="252" w:lineRule="auto"/>
        <w:jc w:val="both"/>
        <w:rPr>
          <w:rFonts w:eastAsia="MS Mincho"/>
        </w:rPr>
      </w:pPr>
      <w:r w:rsidRPr="00CB3C20">
        <w:rPr>
          <w:rFonts w:eastAsia="MS Mincho"/>
        </w:rPr>
        <w:t>§ 1. Zakres stosowania</w:t>
      </w:r>
    </w:p>
    <w:p w14:paraId="3DD1A257" w14:textId="50AD6356" w:rsidR="003A5C1A" w:rsidRPr="00CB3C20" w:rsidRDefault="003A5C1A" w:rsidP="003A5C1A">
      <w:pPr>
        <w:spacing w:after="60" w:line="252" w:lineRule="auto"/>
        <w:ind w:left="329" w:hanging="329"/>
        <w:jc w:val="both"/>
        <w:rPr>
          <w:rFonts w:eastAsia="MS Mincho"/>
        </w:rPr>
      </w:pPr>
      <w:r w:rsidRPr="00CB3C20">
        <w:rPr>
          <w:rFonts w:eastAsia="MS Mincho"/>
        </w:rPr>
        <w:t>1.</w:t>
      </w:r>
      <w:r>
        <w:rPr>
          <w:rFonts w:eastAsia="MS Mincho"/>
        </w:rPr>
        <w:tab/>
      </w:r>
      <w:r w:rsidRPr="00CB3C20">
        <w:rPr>
          <w:rFonts w:eastAsia="MS Mincho"/>
        </w:rPr>
        <w:t>Zarządzenie określa szczegółowe zasady przenoszenia i uznawania punktów ECTS uzyskanych w ramach wcześniej realizowanych studiów studentom kierunku Budownictwo, przyjętym w drodze rekrutacji, o której mowa w</w:t>
      </w:r>
      <w:r>
        <w:rPr>
          <w:rFonts w:eastAsia="MS Mincho"/>
        </w:rPr>
        <w:t> </w:t>
      </w:r>
      <w:r w:rsidRPr="00CB3C20">
        <w:rPr>
          <w:rFonts w:eastAsia="MS Mincho"/>
        </w:rPr>
        <w:t>§</w:t>
      </w:r>
      <w:r>
        <w:rPr>
          <w:rFonts w:eastAsia="MS Mincho"/>
        </w:rPr>
        <w:t> </w:t>
      </w:r>
      <w:r w:rsidRPr="00CB3C20">
        <w:rPr>
          <w:rFonts w:eastAsia="MS Mincho"/>
        </w:rPr>
        <w:t>4</w:t>
      </w:r>
      <w:r>
        <w:rPr>
          <w:rFonts w:eastAsia="MS Mincho"/>
        </w:rPr>
        <w:t> </w:t>
      </w:r>
      <w:r w:rsidRPr="00CB3C20">
        <w:rPr>
          <w:rFonts w:eastAsia="MS Mincho"/>
        </w:rPr>
        <w:t>ust.</w:t>
      </w:r>
      <w:r>
        <w:rPr>
          <w:rFonts w:eastAsia="MS Mincho"/>
        </w:rPr>
        <w:t> </w:t>
      </w:r>
      <w:r w:rsidRPr="00CB3C20">
        <w:rPr>
          <w:rFonts w:eastAsia="MS Mincho"/>
        </w:rPr>
        <w:t>1 pkt 1 Regulaminu studiów.</w:t>
      </w:r>
    </w:p>
    <w:p w14:paraId="2E4DC444" w14:textId="38117314" w:rsidR="003A5C1A" w:rsidRDefault="003A5C1A" w:rsidP="003A5C1A">
      <w:pPr>
        <w:spacing w:after="60" w:line="252" w:lineRule="auto"/>
        <w:ind w:left="329" w:hanging="329"/>
        <w:jc w:val="both"/>
        <w:rPr>
          <w:rFonts w:eastAsia="MS Mincho"/>
        </w:rPr>
      </w:pPr>
      <w:r w:rsidRPr="00CB3C20">
        <w:rPr>
          <w:rFonts w:eastAsia="MS Mincho"/>
        </w:rPr>
        <w:t>2.</w:t>
      </w:r>
      <w:r>
        <w:rPr>
          <w:rFonts w:eastAsia="MS Mincho"/>
        </w:rPr>
        <w:tab/>
      </w:r>
      <w:r w:rsidRPr="00CB3C20">
        <w:rPr>
          <w:rFonts w:eastAsia="MS Mincho"/>
        </w:rPr>
        <w:t>Zasady dotyczą studiów pierwszego i drugiego stopnia, stacjonarnych i</w:t>
      </w:r>
      <w:r>
        <w:rPr>
          <w:rFonts w:eastAsia="MS Mincho"/>
        </w:rPr>
        <w:t> </w:t>
      </w:r>
      <w:r w:rsidRPr="00CB3C20">
        <w:rPr>
          <w:rFonts w:eastAsia="MS Mincho"/>
        </w:rPr>
        <w:t>niestacjonarnych.</w:t>
      </w:r>
    </w:p>
    <w:p w14:paraId="7FE4EEFE" w14:textId="77777777" w:rsidR="003A5C1A" w:rsidRPr="00CB3C20" w:rsidRDefault="003A5C1A" w:rsidP="003A5C1A">
      <w:pPr>
        <w:spacing w:after="60" w:line="252" w:lineRule="auto"/>
        <w:jc w:val="both"/>
        <w:rPr>
          <w:rFonts w:eastAsia="MS Mincho"/>
        </w:rPr>
      </w:pPr>
    </w:p>
    <w:p w14:paraId="786F2450" w14:textId="77777777" w:rsidR="003A5C1A" w:rsidRPr="00CB3C20" w:rsidRDefault="003A5C1A" w:rsidP="003A5C1A">
      <w:pPr>
        <w:keepLines/>
        <w:spacing w:before="120" w:after="60" w:line="252" w:lineRule="auto"/>
        <w:jc w:val="both"/>
        <w:rPr>
          <w:rFonts w:eastAsia="MS Mincho"/>
        </w:rPr>
      </w:pPr>
      <w:r w:rsidRPr="00CB3C20">
        <w:rPr>
          <w:rFonts w:eastAsia="MS Mincho"/>
        </w:rPr>
        <w:t>§ 2. Limit punktów ECTS</w:t>
      </w:r>
    </w:p>
    <w:p w14:paraId="5AD1196E" w14:textId="5E818340" w:rsidR="003A5C1A" w:rsidRPr="00CB3C20" w:rsidRDefault="003A5C1A" w:rsidP="003A5C1A">
      <w:pPr>
        <w:spacing w:after="60" w:line="252" w:lineRule="auto"/>
        <w:ind w:left="329" w:hanging="329"/>
        <w:jc w:val="both"/>
        <w:rPr>
          <w:rFonts w:eastAsia="MS Mincho"/>
        </w:rPr>
      </w:pPr>
      <w:r w:rsidRPr="00CB3C20">
        <w:rPr>
          <w:rFonts w:eastAsia="MS Mincho"/>
        </w:rPr>
        <w:t>1.</w:t>
      </w:r>
      <w:r>
        <w:rPr>
          <w:rFonts w:eastAsia="MS Mincho"/>
        </w:rPr>
        <w:tab/>
      </w:r>
      <w:r w:rsidRPr="00CB3C20">
        <w:rPr>
          <w:rFonts w:eastAsia="MS Mincho"/>
        </w:rPr>
        <w:t>Maksymalna liczba punktów ECTS możliwych do przeniesienia i uznania wynosi 15 punktów ECTS na każdy etap (semestr) studiów.</w:t>
      </w:r>
    </w:p>
    <w:p w14:paraId="22C98148" w14:textId="45C11D43" w:rsidR="003A5C1A" w:rsidRPr="00CB3C20" w:rsidRDefault="003A5C1A" w:rsidP="003A5C1A">
      <w:pPr>
        <w:spacing w:after="60" w:line="252" w:lineRule="auto"/>
        <w:ind w:left="329" w:hanging="329"/>
        <w:jc w:val="both"/>
        <w:rPr>
          <w:rFonts w:eastAsia="MS Mincho"/>
        </w:rPr>
      </w:pPr>
      <w:r w:rsidRPr="00CB3C20">
        <w:rPr>
          <w:rFonts w:eastAsia="MS Mincho"/>
        </w:rPr>
        <w:t>2.</w:t>
      </w:r>
      <w:r>
        <w:rPr>
          <w:rFonts w:eastAsia="MS Mincho"/>
        </w:rPr>
        <w:tab/>
      </w:r>
      <w:r w:rsidRPr="00CB3C20">
        <w:rPr>
          <w:rFonts w:eastAsia="MS Mincho"/>
        </w:rPr>
        <w:t>Jeżeli liczba punktów ECTS przypisanych przedmiotom kwalifikującym się do uznania przekracza limit, student wskazuje we wniosku przedmioty, których łączna wartość nie przekracza 15 punktów ECTS.</w:t>
      </w:r>
    </w:p>
    <w:p w14:paraId="27716559" w14:textId="03CFA841" w:rsidR="003A5C1A" w:rsidRPr="00CB3C20" w:rsidRDefault="003A5C1A" w:rsidP="003A5C1A">
      <w:pPr>
        <w:spacing w:after="60" w:line="252" w:lineRule="auto"/>
        <w:ind w:left="329" w:hanging="329"/>
        <w:jc w:val="both"/>
        <w:rPr>
          <w:rFonts w:eastAsia="MS Mincho"/>
        </w:rPr>
      </w:pPr>
      <w:r w:rsidRPr="00CB3C20">
        <w:rPr>
          <w:rFonts w:eastAsia="MS Mincho"/>
        </w:rPr>
        <w:t>3.</w:t>
      </w:r>
      <w:r>
        <w:rPr>
          <w:rFonts w:eastAsia="MS Mincho"/>
        </w:rPr>
        <w:tab/>
      </w:r>
      <w:r w:rsidRPr="00CB3C20">
        <w:rPr>
          <w:rFonts w:eastAsia="MS Mincho"/>
        </w:rPr>
        <w:t xml:space="preserve">Do limitu wlicza się liczbę punktów ECTS przypisaną uznawanemu przedmiotowi w </w:t>
      </w:r>
      <w:r>
        <w:rPr>
          <w:rFonts w:eastAsia="MS Mincho"/>
        </w:rPr>
        <w:t xml:space="preserve">aktualnym </w:t>
      </w:r>
      <w:r w:rsidRPr="00CB3C20">
        <w:rPr>
          <w:rFonts w:eastAsia="MS Mincho"/>
        </w:rPr>
        <w:t>programie studiów obowiązującym studenta.</w:t>
      </w:r>
    </w:p>
    <w:p w14:paraId="4449D808" w14:textId="7040641C" w:rsidR="003A5C1A" w:rsidRDefault="003A5C1A" w:rsidP="003A5C1A">
      <w:pPr>
        <w:spacing w:after="60" w:line="252" w:lineRule="auto"/>
        <w:ind w:left="329" w:hanging="329"/>
        <w:jc w:val="both"/>
        <w:rPr>
          <w:rFonts w:eastAsia="MS Mincho"/>
        </w:rPr>
      </w:pPr>
      <w:r w:rsidRPr="00CB3C20">
        <w:rPr>
          <w:rFonts w:eastAsia="MS Mincho"/>
        </w:rPr>
        <w:t>4.</w:t>
      </w:r>
      <w:r>
        <w:rPr>
          <w:rFonts w:eastAsia="MS Mincho"/>
        </w:rPr>
        <w:tab/>
      </w:r>
      <w:r w:rsidRPr="00CB3C20">
        <w:rPr>
          <w:rFonts w:eastAsia="MS Mincho"/>
        </w:rPr>
        <w:t xml:space="preserve">Limitu nie stosuje się do dorobku uzyskanego </w:t>
      </w:r>
      <w:r>
        <w:rPr>
          <w:rFonts w:eastAsia="MS Mincho"/>
        </w:rPr>
        <w:t xml:space="preserve">w trakcie studiów </w:t>
      </w:r>
      <w:r w:rsidRPr="00CB3C20">
        <w:rPr>
          <w:rFonts w:eastAsia="MS Mincho"/>
        </w:rPr>
        <w:t>podczas realizacji części programu studiów w ramach wymiany międzynarodowej, w</w:t>
      </w:r>
      <w:r>
        <w:rPr>
          <w:rFonts w:eastAsia="MS Mincho"/>
        </w:rPr>
        <w:t> </w:t>
      </w:r>
      <w:r w:rsidRPr="00CB3C20">
        <w:rPr>
          <w:rFonts w:eastAsia="MS Mincho"/>
        </w:rPr>
        <w:t>szczególności programu Erasmus+.</w:t>
      </w:r>
    </w:p>
    <w:p w14:paraId="11418AEA" w14:textId="77777777" w:rsidR="003A5C1A" w:rsidRPr="00CB3C20" w:rsidRDefault="003A5C1A" w:rsidP="003A5C1A">
      <w:pPr>
        <w:spacing w:after="60" w:line="252" w:lineRule="auto"/>
        <w:ind w:left="329" w:hanging="329"/>
        <w:jc w:val="both"/>
        <w:rPr>
          <w:rFonts w:eastAsia="MS Mincho"/>
        </w:rPr>
      </w:pPr>
    </w:p>
    <w:p w14:paraId="5FF1766F" w14:textId="77777777" w:rsidR="003A5C1A" w:rsidRPr="00CB3C20" w:rsidRDefault="003A5C1A" w:rsidP="003A5C1A">
      <w:pPr>
        <w:keepLines/>
        <w:spacing w:before="120" w:after="60" w:line="252" w:lineRule="auto"/>
        <w:jc w:val="both"/>
        <w:rPr>
          <w:rFonts w:eastAsia="MS Mincho"/>
        </w:rPr>
      </w:pPr>
      <w:r w:rsidRPr="00CB3C20">
        <w:rPr>
          <w:rFonts w:eastAsia="MS Mincho"/>
        </w:rPr>
        <w:t>§ 3. Ograniczenie czasowe</w:t>
      </w:r>
    </w:p>
    <w:p w14:paraId="4D595DC2" w14:textId="58A58D02" w:rsidR="003A5C1A" w:rsidRPr="00CB3C20" w:rsidRDefault="003A5C1A" w:rsidP="003A5C1A">
      <w:pPr>
        <w:spacing w:after="60" w:line="252" w:lineRule="auto"/>
        <w:ind w:left="329" w:hanging="329"/>
        <w:jc w:val="both"/>
        <w:rPr>
          <w:rFonts w:eastAsia="MS Mincho"/>
        </w:rPr>
      </w:pPr>
      <w:r w:rsidRPr="00CB3C20">
        <w:rPr>
          <w:rFonts w:eastAsia="MS Mincho"/>
        </w:rPr>
        <w:t>1.</w:t>
      </w:r>
      <w:r>
        <w:rPr>
          <w:rFonts w:eastAsia="MS Mincho"/>
        </w:rPr>
        <w:tab/>
      </w:r>
      <w:r w:rsidRPr="00CB3C20">
        <w:rPr>
          <w:rFonts w:eastAsia="MS Mincho"/>
        </w:rPr>
        <w:t>Przedmioty kierunkowe i specjalnościowe mogą zostać uznane, jeżeli od dnia ich zaliczenia do dnia złożenia wniosku nie upłynęło więcej niż 6 lat.</w:t>
      </w:r>
    </w:p>
    <w:p w14:paraId="786EC8B8" w14:textId="36756B25" w:rsidR="003A5C1A" w:rsidRPr="00CB3C20" w:rsidRDefault="003A5C1A" w:rsidP="003A5C1A">
      <w:pPr>
        <w:spacing w:after="60" w:line="252" w:lineRule="auto"/>
        <w:ind w:left="329" w:hanging="329"/>
        <w:jc w:val="both"/>
        <w:rPr>
          <w:rFonts w:eastAsia="MS Mincho"/>
        </w:rPr>
      </w:pPr>
      <w:r w:rsidRPr="00CB3C20">
        <w:rPr>
          <w:rFonts w:eastAsia="MS Mincho"/>
        </w:rPr>
        <w:lastRenderedPageBreak/>
        <w:t>2.</w:t>
      </w:r>
      <w:r>
        <w:rPr>
          <w:rFonts w:eastAsia="MS Mincho"/>
        </w:rPr>
        <w:tab/>
      </w:r>
      <w:r w:rsidRPr="00CB3C20">
        <w:rPr>
          <w:rFonts w:eastAsia="MS Mincho"/>
        </w:rPr>
        <w:t xml:space="preserve">O zakwalifikowaniu przedmiotu jako kierunkowego lub specjalnościowego decyduje program studiów, do którego student jest przypisany. Ograniczenia czasowego nie stosuje się do przedmiotów </w:t>
      </w:r>
      <w:r>
        <w:rPr>
          <w:rFonts w:eastAsia="MS Mincho"/>
        </w:rPr>
        <w:t xml:space="preserve">kształcenia </w:t>
      </w:r>
      <w:r w:rsidRPr="00CB3C20">
        <w:rPr>
          <w:rFonts w:eastAsia="MS Mincho"/>
        </w:rPr>
        <w:t>podstawo</w:t>
      </w:r>
      <w:r>
        <w:rPr>
          <w:rFonts w:eastAsia="MS Mincho"/>
        </w:rPr>
        <w:t>wego</w:t>
      </w:r>
      <w:r w:rsidRPr="00CB3C20">
        <w:rPr>
          <w:rFonts w:eastAsia="MS Mincho"/>
        </w:rPr>
        <w:t xml:space="preserve"> i ogóln</w:t>
      </w:r>
      <w:r>
        <w:rPr>
          <w:rFonts w:eastAsia="MS Mincho"/>
        </w:rPr>
        <w:t>ego</w:t>
      </w:r>
      <w:r w:rsidRPr="00CB3C20">
        <w:rPr>
          <w:rFonts w:eastAsia="MS Mincho"/>
        </w:rPr>
        <w:t>.</w:t>
      </w:r>
    </w:p>
    <w:p w14:paraId="4D17349A" w14:textId="352D1AE5" w:rsidR="003A5C1A" w:rsidRDefault="003A5C1A" w:rsidP="003A5C1A">
      <w:pPr>
        <w:spacing w:after="60" w:line="252" w:lineRule="auto"/>
        <w:ind w:left="329" w:hanging="329"/>
        <w:jc w:val="both"/>
        <w:rPr>
          <w:rFonts w:eastAsia="MS Mincho"/>
        </w:rPr>
      </w:pPr>
      <w:r w:rsidRPr="00CB3C20">
        <w:rPr>
          <w:rFonts w:eastAsia="MS Mincho"/>
        </w:rPr>
        <w:t>3.</w:t>
      </w:r>
      <w:r>
        <w:rPr>
          <w:rFonts w:eastAsia="MS Mincho"/>
        </w:rPr>
        <w:tab/>
      </w:r>
      <w:r w:rsidRPr="00CB3C20">
        <w:rPr>
          <w:rFonts w:eastAsia="MS Mincho"/>
        </w:rPr>
        <w:t>W szczególnie uzasadnionych przypadkach dziekan może odstąpić od ograniczenia, o którym mowa w ust. 1, po potwierdzeniu aktualności osiągniętych efektów uczenia się, w szczególności na podstawie opinii koordynatora przedmiotu.</w:t>
      </w:r>
    </w:p>
    <w:p w14:paraId="7133E400" w14:textId="77777777" w:rsidR="003A5C1A" w:rsidRPr="00CB3C20" w:rsidRDefault="003A5C1A" w:rsidP="003A5C1A">
      <w:pPr>
        <w:spacing w:after="60" w:line="252" w:lineRule="auto"/>
        <w:jc w:val="both"/>
        <w:rPr>
          <w:rFonts w:eastAsia="MS Mincho"/>
        </w:rPr>
      </w:pPr>
    </w:p>
    <w:p w14:paraId="0E49D83B" w14:textId="77777777" w:rsidR="003A5C1A" w:rsidRPr="00CB3C20" w:rsidRDefault="003A5C1A" w:rsidP="003A5C1A">
      <w:pPr>
        <w:keepLines/>
        <w:spacing w:before="120" w:after="60" w:line="252" w:lineRule="auto"/>
        <w:jc w:val="both"/>
        <w:rPr>
          <w:rFonts w:eastAsia="MS Mincho"/>
        </w:rPr>
      </w:pPr>
      <w:r w:rsidRPr="00CB3C20">
        <w:rPr>
          <w:rFonts w:eastAsia="MS Mincho"/>
        </w:rPr>
        <w:t>§ 4. Tryb uznawania dorobku</w:t>
      </w:r>
    </w:p>
    <w:p w14:paraId="41F91292" w14:textId="0360A7DE" w:rsidR="003A5C1A" w:rsidRPr="00CB3C20" w:rsidRDefault="003A5C1A" w:rsidP="003A5C1A">
      <w:pPr>
        <w:spacing w:after="60" w:line="252" w:lineRule="auto"/>
        <w:ind w:left="329" w:hanging="329"/>
        <w:jc w:val="both"/>
        <w:rPr>
          <w:rFonts w:eastAsia="MS Mincho"/>
        </w:rPr>
      </w:pPr>
      <w:r w:rsidRPr="00CB3C20">
        <w:rPr>
          <w:rFonts w:eastAsia="MS Mincho"/>
        </w:rPr>
        <w:t>1.</w:t>
      </w:r>
      <w:r>
        <w:rPr>
          <w:rFonts w:eastAsia="MS Mincho"/>
        </w:rPr>
        <w:tab/>
      </w:r>
      <w:r w:rsidRPr="00CB3C20">
        <w:rPr>
          <w:rFonts w:eastAsia="MS Mincho"/>
        </w:rPr>
        <w:t>Student składa wniosek wraz z dokumentacją wcześniejszych zaliczeń w terminie i trybie określonym w harmonogramie ogłoszonym na stronie internetowej Wydziału.</w:t>
      </w:r>
    </w:p>
    <w:p w14:paraId="0B4A3B4A" w14:textId="3D33C6E1" w:rsidR="003A5C1A" w:rsidRDefault="003A5C1A" w:rsidP="003A5C1A">
      <w:pPr>
        <w:spacing w:after="60" w:line="252" w:lineRule="auto"/>
        <w:ind w:left="329" w:hanging="329"/>
        <w:jc w:val="both"/>
        <w:rPr>
          <w:rFonts w:eastAsia="MS Mincho"/>
        </w:rPr>
      </w:pPr>
      <w:r w:rsidRPr="00CB3C20">
        <w:rPr>
          <w:rFonts w:eastAsia="MS Mincho"/>
        </w:rPr>
        <w:t>2.</w:t>
      </w:r>
      <w:r>
        <w:rPr>
          <w:rFonts w:eastAsia="MS Mincho"/>
        </w:rPr>
        <w:tab/>
      </w:r>
      <w:r w:rsidRPr="00CB3C20">
        <w:rPr>
          <w:rFonts w:eastAsia="MS Mincho"/>
        </w:rPr>
        <w:t>Warunkiem uznania dorobku jest stwierdzenie zbieżności osiągniętych efektów uczenia się z efektami przedmiotów w obowiązującym studenta programie studiów, zgodnie z § 15 ust. 3 Regulaminu studiów. Uznania dorobku dokonuje dziekan.</w:t>
      </w:r>
    </w:p>
    <w:p w14:paraId="6698D4BA" w14:textId="77777777" w:rsidR="003A5C1A" w:rsidRPr="00CB3C20" w:rsidRDefault="003A5C1A" w:rsidP="003A5C1A">
      <w:pPr>
        <w:spacing w:after="60" w:line="252" w:lineRule="auto"/>
        <w:ind w:left="329" w:hanging="329"/>
        <w:jc w:val="both"/>
        <w:rPr>
          <w:rFonts w:eastAsia="MS Mincho"/>
        </w:rPr>
      </w:pPr>
    </w:p>
    <w:p w14:paraId="39D14DF7" w14:textId="77777777" w:rsidR="003A5C1A" w:rsidRPr="00CB3C20" w:rsidRDefault="003A5C1A" w:rsidP="003A5C1A">
      <w:pPr>
        <w:keepLines/>
        <w:spacing w:before="120" w:after="60" w:line="252" w:lineRule="auto"/>
        <w:jc w:val="both"/>
        <w:rPr>
          <w:rFonts w:eastAsia="MS Mincho"/>
        </w:rPr>
      </w:pPr>
      <w:r w:rsidRPr="00CB3C20">
        <w:rPr>
          <w:rFonts w:eastAsia="MS Mincho"/>
        </w:rPr>
        <w:t>§ 5. Postanowienia końcowe</w:t>
      </w:r>
    </w:p>
    <w:p w14:paraId="2DA8CC88" w14:textId="45EC514E" w:rsidR="003A5C1A" w:rsidRPr="00CB3C20" w:rsidRDefault="003A5C1A" w:rsidP="003A5C1A">
      <w:pPr>
        <w:spacing w:after="60" w:line="252" w:lineRule="auto"/>
        <w:ind w:left="329" w:hanging="329"/>
        <w:jc w:val="both"/>
        <w:rPr>
          <w:rFonts w:eastAsia="MS Mincho"/>
        </w:rPr>
      </w:pPr>
      <w:r w:rsidRPr="00CB3C20">
        <w:rPr>
          <w:rFonts w:eastAsia="MS Mincho"/>
        </w:rPr>
        <w:t>1.</w:t>
      </w:r>
      <w:r>
        <w:rPr>
          <w:rFonts w:eastAsia="MS Mincho"/>
        </w:rPr>
        <w:tab/>
      </w:r>
      <w:r w:rsidRPr="00CB3C20">
        <w:rPr>
          <w:rFonts w:eastAsia="MS Mincho"/>
        </w:rPr>
        <w:t xml:space="preserve">Ograniczeń określonych w § 2 ust. 1 i § 3 ust. 1 nie stosuje się w postępowaniach dotyczących przeniesień oraz zmian, o których mowa w § 30 Regulaminu studiów. W tych przypadkach dorobek rozpatruje się zgodnie </w:t>
      </w:r>
      <w:r>
        <w:rPr>
          <w:rFonts w:eastAsia="MS Mincho"/>
        </w:rPr>
        <w:t> </w:t>
      </w:r>
      <w:r w:rsidR="00387C57" w:rsidRPr="00CB3C20">
        <w:rPr>
          <w:rFonts w:eastAsia="MS Mincho"/>
        </w:rPr>
        <w:t>z § 15 ust. 3 Regulaminu studiów</w:t>
      </w:r>
      <w:r w:rsidRPr="00CB3C20">
        <w:rPr>
          <w:rFonts w:eastAsia="MS Mincho"/>
        </w:rPr>
        <w:t>.</w:t>
      </w:r>
    </w:p>
    <w:p w14:paraId="3FBB420A" w14:textId="74A4D59E" w:rsidR="003A5C1A" w:rsidRPr="00CB3C20" w:rsidRDefault="003A5C1A" w:rsidP="003A5C1A">
      <w:pPr>
        <w:spacing w:after="60" w:line="252" w:lineRule="auto"/>
        <w:ind w:left="329" w:hanging="329"/>
        <w:jc w:val="both"/>
        <w:rPr>
          <w:rFonts w:eastAsia="MS Mincho"/>
        </w:rPr>
      </w:pPr>
      <w:r w:rsidRPr="00CB3C20">
        <w:rPr>
          <w:rFonts w:eastAsia="MS Mincho"/>
        </w:rPr>
        <w:t>2.  Zarządzenie wchodzi w życie z dniem ogłoszenia.</w:t>
      </w:r>
    </w:p>
    <w:p w14:paraId="3A39BF98" w14:textId="77777777" w:rsidR="00674321" w:rsidRPr="003A5C1A" w:rsidRDefault="00674321" w:rsidP="00674321">
      <w:pPr>
        <w:widowControl w:val="0"/>
        <w:jc w:val="both"/>
        <w:rPr>
          <w:rFonts w:asciiTheme="minorHAnsi" w:eastAsia="Calibri" w:hAnsiTheme="minorHAnsi" w:cstheme="minorHAnsi"/>
        </w:rPr>
      </w:pPr>
    </w:p>
    <w:p w14:paraId="5477F72B" w14:textId="77777777" w:rsidR="00674321" w:rsidRPr="003A5C1A" w:rsidRDefault="00674321" w:rsidP="00674321">
      <w:pPr>
        <w:widowControl w:val="0"/>
        <w:jc w:val="both"/>
        <w:rPr>
          <w:rFonts w:asciiTheme="minorHAnsi" w:eastAsia="Calibri" w:hAnsiTheme="minorHAnsi" w:cstheme="minorHAnsi"/>
          <w:b/>
        </w:rPr>
      </w:pPr>
    </w:p>
    <w:p w14:paraId="38F1A327" w14:textId="21B5552F" w:rsidR="00AC5C64" w:rsidRDefault="0075080A" w:rsidP="00674321">
      <w:pPr>
        <w:widowControl w:val="0"/>
        <w:jc w:val="both"/>
        <w:rPr>
          <w:rFonts w:asciiTheme="minorHAnsi" w:hAnsiTheme="minorHAnsi" w:cstheme="minorHAnsi"/>
        </w:rPr>
      </w:pPr>
      <w:r w:rsidRPr="0075080A">
        <w:rPr>
          <w:rFonts w:asciiTheme="minorHAnsi" w:hAnsiTheme="minorHAnsi" w:cstheme="minorHAnsi"/>
        </w:rPr>
        <w:t> </w:t>
      </w:r>
      <w:r w:rsidR="00575A90" w:rsidRPr="009F76A0">
        <w:rPr>
          <w:rFonts w:asciiTheme="minorHAnsi" w:hAnsiTheme="minorHAnsi" w:cstheme="minorHAnsi"/>
        </w:rPr>
        <w:t xml:space="preserve">     </w:t>
      </w:r>
      <w:r w:rsidR="00575A90" w:rsidRPr="009F76A0">
        <w:rPr>
          <w:rFonts w:asciiTheme="minorHAnsi" w:hAnsiTheme="minorHAnsi" w:cstheme="minorHAnsi"/>
        </w:rPr>
        <w:tab/>
      </w:r>
      <w:r w:rsidR="00575A90" w:rsidRPr="009F76A0">
        <w:rPr>
          <w:rFonts w:asciiTheme="minorHAnsi" w:hAnsiTheme="minorHAnsi" w:cstheme="minorHAnsi"/>
        </w:rPr>
        <w:tab/>
      </w:r>
      <w:r w:rsidR="00575A90" w:rsidRPr="009F76A0">
        <w:rPr>
          <w:rFonts w:asciiTheme="minorHAnsi" w:hAnsiTheme="minorHAnsi" w:cstheme="minorHAnsi"/>
        </w:rPr>
        <w:tab/>
      </w:r>
      <w:r w:rsidR="00575A90" w:rsidRPr="009F76A0">
        <w:rPr>
          <w:rFonts w:asciiTheme="minorHAnsi" w:hAnsiTheme="minorHAnsi" w:cstheme="minorHAnsi"/>
        </w:rPr>
        <w:tab/>
      </w:r>
      <w:r w:rsidR="00575A90" w:rsidRPr="009F76A0">
        <w:rPr>
          <w:rFonts w:asciiTheme="minorHAnsi" w:hAnsiTheme="minorHAnsi" w:cstheme="minorHAnsi"/>
        </w:rPr>
        <w:tab/>
      </w:r>
      <w:r w:rsidR="00575A90" w:rsidRPr="009F76A0">
        <w:rPr>
          <w:rFonts w:asciiTheme="minorHAnsi" w:hAnsiTheme="minorHAnsi" w:cstheme="minorHAnsi"/>
        </w:rPr>
        <w:tab/>
        <w:t xml:space="preserve">       </w:t>
      </w:r>
    </w:p>
    <w:p w14:paraId="75119888" w14:textId="4F4475C3" w:rsidR="00575A90" w:rsidRPr="009F76A0" w:rsidRDefault="00AC5C64" w:rsidP="00AC5C64">
      <w:pPr>
        <w:widowControl w:val="0"/>
        <w:ind w:left="424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</w:t>
      </w:r>
      <w:r w:rsidR="00575A90" w:rsidRPr="009F76A0">
        <w:rPr>
          <w:rFonts w:asciiTheme="minorHAnsi" w:hAnsiTheme="minorHAnsi" w:cstheme="minorHAnsi"/>
        </w:rPr>
        <w:t xml:space="preserve">Dziekan Wydziału </w:t>
      </w:r>
    </w:p>
    <w:p w14:paraId="3F159710" w14:textId="77777777" w:rsidR="00575A90" w:rsidRDefault="00575A90" w:rsidP="00575A90">
      <w:pPr>
        <w:rPr>
          <w:rFonts w:asciiTheme="minorHAnsi" w:hAnsiTheme="minorHAnsi" w:cstheme="minorHAnsi"/>
        </w:rPr>
      </w:pPr>
      <w:r w:rsidRPr="009F76A0">
        <w:rPr>
          <w:rFonts w:asciiTheme="minorHAnsi" w:hAnsiTheme="minorHAnsi" w:cstheme="minorHAnsi"/>
        </w:rPr>
        <w:tab/>
      </w:r>
      <w:r w:rsidRPr="009F76A0">
        <w:rPr>
          <w:rFonts w:asciiTheme="minorHAnsi" w:hAnsiTheme="minorHAnsi" w:cstheme="minorHAnsi"/>
        </w:rPr>
        <w:tab/>
      </w:r>
      <w:r w:rsidRPr="009F76A0">
        <w:rPr>
          <w:rFonts w:asciiTheme="minorHAnsi" w:hAnsiTheme="minorHAnsi" w:cstheme="minorHAnsi"/>
        </w:rPr>
        <w:tab/>
      </w:r>
      <w:r w:rsidRPr="009F76A0">
        <w:rPr>
          <w:rFonts w:asciiTheme="minorHAnsi" w:hAnsiTheme="minorHAnsi" w:cstheme="minorHAnsi"/>
        </w:rPr>
        <w:tab/>
      </w:r>
      <w:r w:rsidRPr="009F76A0">
        <w:rPr>
          <w:rFonts w:asciiTheme="minorHAnsi" w:hAnsiTheme="minorHAnsi" w:cstheme="minorHAnsi"/>
        </w:rPr>
        <w:tab/>
        <w:t xml:space="preserve">    Budownictwa Lądowego i Wodnego</w:t>
      </w:r>
    </w:p>
    <w:p w14:paraId="391FF6C9" w14:textId="77777777" w:rsidR="00650D9B" w:rsidRDefault="00650D9B" w:rsidP="00575A90">
      <w:pPr>
        <w:rPr>
          <w:rFonts w:asciiTheme="minorHAnsi" w:hAnsiTheme="minorHAnsi" w:cstheme="minorHAnsi"/>
        </w:rPr>
      </w:pPr>
    </w:p>
    <w:p w14:paraId="5821DE27" w14:textId="77777777" w:rsidR="00650D9B" w:rsidRPr="009F76A0" w:rsidRDefault="00650D9B" w:rsidP="00575A90">
      <w:pPr>
        <w:rPr>
          <w:rFonts w:asciiTheme="minorHAnsi" w:hAnsiTheme="minorHAnsi" w:cstheme="minorHAnsi"/>
        </w:rPr>
      </w:pPr>
    </w:p>
    <w:p w14:paraId="523F23F2" w14:textId="7D6365C2" w:rsidR="00575A90" w:rsidRPr="009F76A0" w:rsidRDefault="00575A90" w:rsidP="002D217D">
      <w:pPr>
        <w:rPr>
          <w:rFonts w:asciiTheme="minorHAnsi" w:hAnsiTheme="minorHAnsi" w:cstheme="minorHAnsi"/>
        </w:rPr>
      </w:pPr>
      <w:r w:rsidRPr="009F76A0">
        <w:rPr>
          <w:rFonts w:asciiTheme="minorHAnsi" w:hAnsiTheme="minorHAnsi" w:cstheme="minorHAnsi"/>
        </w:rPr>
        <w:tab/>
      </w:r>
      <w:r w:rsidRPr="009F76A0">
        <w:rPr>
          <w:rFonts w:asciiTheme="minorHAnsi" w:hAnsiTheme="minorHAnsi" w:cstheme="minorHAnsi"/>
        </w:rPr>
        <w:tab/>
      </w:r>
      <w:r w:rsidRPr="009F76A0">
        <w:rPr>
          <w:rFonts w:asciiTheme="minorHAnsi" w:hAnsiTheme="minorHAnsi" w:cstheme="minorHAnsi"/>
        </w:rPr>
        <w:tab/>
      </w:r>
      <w:r w:rsidRPr="009F76A0">
        <w:rPr>
          <w:rFonts w:asciiTheme="minorHAnsi" w:hAnsiTheme="minorHAnsi" w:cstheme="minorHAnsi"/>
        </w:rPr>
        <w:tab/>
      </w:r>
      <w:r w:rsidRPr="009F76A0">
        <w:rPr>
          <w:rFonts w:asciiTheme="minorHAnsi" w:hAnsiTheme="minorHAnsi" w:cstheme="minorHAnsi"/>
        </w:rPr>
        <w:tab/>
        <w:t xml:space="preserve"> dr hab. inż. </w:t>
      </w:r>
      <w:r w:rsidR="00FF0A95">
        <w:rPr>
          <w:rFonts w:asciiTheme="minorHAnsi" w:hAnsiTheme="minorHAnsi" w:cstheme="minorHAnsi"/>
        </w:rPr>
        <w:t>Adrian Różański</w:t>
      </w:r>
      <w:r w:rsidRPr="009F76A0">
        <w:rPr>
          <w:rFonts w:asciiTheme="minorHAnsi" w:hAnsiTheme="minorHAnsi" w:cstheme="minorHAnsi"/>
        </w:rPr>
        <w:t>, prof. uczelni</w:t>
      </w:r>
    </w:p>
    <w:sectPr w:rsidR="00575A90" w:rsidRPr="009F76A0" w:rsidSect="006C6EC5">
      <w:headerReference w:type="default" r:id="rId8"/>
      <w:footerReference w:type="default" r:id="rId9"/>
      <w:headerReference w:type="first" r:id="rId10"/>
      <w:pgSz w:w="11906" w:h="16838"/>
      <w:pgMar w:top="2410" w:right="849" w:bottom="1134" w:left="2977" w:header="283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A8D21" w14:textId="77777777" w:rsidR="008E6868" w:rsidRDefault="008E6868" w:rsidP="00A11C40">
      <w:r>
        <w:separator/>
      </w:r>
    </w:p>
  </w:endnote>
  <w:endnote w:type="continuationSeparator" w:id="0">
    <w:p w14:paraId="7E6767DB" w14:textId="77777777" w:rsidR="008E6868" w:rsidRDefault="008E6868" w:rsidP="00A11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3FDD5" w14:textId="77777777" w:rsidR="007C6409" w:rsidRDefault="007C6409">
    <w:pPr>
      <w:pStyle w:val="Stopka"/>
    </w:pPr>
  </w:p>
  <w:p w14:paraId="071D8EAD" w14:textId="77777777" w:rsidR="007C6409" w:rsidRDefault="007C64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F6634" w14:textId="77777777" w:rsidR="008E6868" w:rsidRDefault="008E6868" w:rsidP="00A11C40">
      <w:r>
        <w:separator/>
      </w:r>
    </w:p>
  </w:footnote>
  <w:footnote w:type="continuationSeparator" w:id="0">
    <w:p w14:paraId="02DFAD10" w14:textId="77777777" w:rsidR="008E6868" w:rsidRDefault="008E6868" w:rsidP="00A11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8C015" w14:textId="77777777" w:rsidR="007C6409" w:rsidRDefault="002700CF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1FF4D2A" wp14:editId="7A40109B">
          <wp:simplePos x="0" y="0"/>
          <wp:positionH relativeFrom="page">
            <wp:posOffset>1520</wp:posOffset>
          </wp:positionH>
          <wp:positionV relativeFrom="page">
            <wp:posOffset>0</wp:posOffset>
          </wp:positionV>
          <wp:extent cx="7535359" cy="10658889"/>
          <wp:effectExtent l="0" t="0" r="0" b="0"/>
          <wp:wrapNone/>
          <wp:docPr id="2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5359" cy="106588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D8AE0" w14:textId="77777777" w:rsidR="007C6409" w:rsidRDefault="002700CF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6CA0E09" wp14:editId="10892F56">
          <wp:simplePos x="0" y="0"/>
          <wp:positionH relativeFrom="page">
            <wp:posOffset>1519</wp:posOffset>
          </wp:positionH>
          <wp:positionV relativeFrom="page">
            <wp:posOffset>0</wp:posOffset>
          </wp:positionV>
          <wp:extent cx="7535357" cy="10658885"/>
          <wp:effectExtent l="0" t="0" r="0" b="0"/>
          <wp:wrapNone/>
          <wp:docPr id="3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5357" cy="10658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5104B"/>
    <w:multiLevelType w:val="hybridMultilevel"/>
    <w:tmpl w:val="8E7CB6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84051"/>
    <w:multiLevelType w:val="hybridMultilevel"/>
    <w:tmpl w:val="2A9AB10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182350"/>
    <w:multiLevelType w:val="hybridMultilevel"/>
    <w:tmpl w:val="E0FA9C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15E3F"/>
    <w:multiLevelType w:val="hybridMultilevel"/>
    <w:tmpl w:val="B090F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746E24B0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D7E7A"/>
    <w:multiLevelType w:val="hybridMultilevel"/>
    <w:tmpl w:val="E83AAE70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124875D2"/>
    <w:multiLevelType w:val="multilevel"/>
    <w:tmpl w:val="7E202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2177C3"/>
    <w:multiLevelType w:val="hybridMultilevel"/>
    <w:tmpl w:val="631C9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C97EDB"/>
    <w:multiLevelType w:val="hybridMultilevel"/>
    <w:tmpl w:val="F242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95731"/>
    <w:multiLevelType w:val="multilevel"/>
    <w:tmpl w:val="56B28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72164C"/>
    <w:multiLevelType w:val="hybridMultilevel"/>
    <w:tmpl w:val="374CD8A8"/>
    <w:lvl w:ilvl="0" w:tplc="0415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276876D5"/>
    <w:multiLevelType w:val="multilevel"/>
    <w:tmpl w:val="43347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69481E"/>
    <w:multiLevelType w:val="hybridMultilevel"/>
    <w:tmpl w:val="FA10DB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F9D6698"/>
    <w:multiLevelType w:val="hybridMultilevel"/>
    <w:tmpl w:val="34BED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F45B43"/>
    <w:multiLevelType w:val="hybridMultilevel"/>
    <w:tmpl w:val="0CFA43BE"/>
    <w:lvl w:ilvl="0" w:tplc="BA8ABB2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82E09A4"/>
    <w:multiLevelType w:val="hybridMultilevel"/>
    <w:tmpl w:val="4E1AA4B0"/>
    <w:lvl w:ilvl="0" w:tplc="790E7B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27418"/>
    <w:multiLevelType w:val="hybridMultilevel"/>
    <w:tmpl w:val="400ED68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E806F9D"/>
    <w:multiLevelType w:val="multilevel"/>
    <w:tmpl w:val="51328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CE3B82"/>
    <w:multiLevelType w:val="hybridMultilevel"/>
    <w:tmpl w:val="62688652"/>
    <w:lvl w:ilvl="0" w:tplc="0415000F">
      <w:start w:val="1"/>
      <w:numFmt w:val="decimal"/>
      <w:lvlText w:val="%1."/>
      <w:lvlJc w:val="left"/>
      <w:pPr>
        <w:ind w:left="2100" w:hanging="360"/>
      </w:pPr>
    </w:lvl>
    <w:lvl w:ilvl="1" w:tplc="04150019" w:tentative="1">
      <w:start w:val="1"/>
      <w:numFmt w:val="lowerLetter"/>
      <w:lvlText w:val="%2."/>
      <w:lvlJc w:val="left"/>
      <w:pPr>
        <w:ind w:left="2820" w:hanging="360"/>
      </w:pPr>
    </w:lvl>
    <w:lvl w:ilvl="2" w:tplc="0415001B" w:tentative="1">
      <w:start w:val="1"/>
      <w:numFmt w:val="lowerRoman"/>
      <w:lvlText w:val="%3."/>
      <w:lvlJc w:val="right"/>
      <w:pPr>
        <w:ind w:left="3540" w:hanging="180"/>
      </w:pPr>
    </w:lvl>
    <w:lvl w:ilvl="3" w:tplc="0415000F" w:tentative="1">
      <w:start w:val="1"/>
      <w:numFmt w:val="decimal"/>
      <w:lvlText w:val="%4."/>
      <w:lvlJc w:val="left"/>
      <w:pPr>
        <w:ind w:left="4260" w:hanging="360"/>
      </w:pPr>
    </w:lvl>
    <w:lvl w:ilvl="4" w:tplc="04150019" w:tentative="1">
      <w:start w:val="1"/>
      <w:numFmt w:val="lowerLetter"/>
      <w:lvlText w:val="%5."/>
      <w:lvlJc w:val="left"/>
      <w:pPr>
        <w:ind w:left="4980" w:hanging="360"/>
      </w:pPr>
    </w:lvl>
    <w:lvl w:ilvl="5" w:tplc="0415001B" w:tentative="1">
      <w:start w:val="1"/>
      <w:numFmt w:val="lowerRoman"/>
      <w:lvlText w:val="%6."/>
      <w:lvlJc w:val="right"/>
      <w:pPr>
        <w:ind w:left="5700" w:hanging="180"/>
      </w:pPr>
    </w:lvl>
    <w:lvl w:ilvl="6" w:tplc="0415000F" w:tentative="1">
      <w:start w:val="1"/>
      <w:numFmt w:val="decimal"/>
      <w:lvlText w:val="%7."/>
      <w:lvlJc w:val="left"/>
      <w:pPr>
        <w:ind w:left="6420" w:hanging="360"/>
      </w:pPr>
    </w:lvl>
    <w:lvl w:ilvl="7" w:tplc="04150019" w:tentative="1">
      <w:start w:val="1"/>
      <w:numFmt w:val="lowerLetter"/>
      <w:lvlText w:val="%8."/>
      <w:lvlJc w:val="left"/>
      <w:pPr>
        <w:ind w:left="7140" w:hanging="360"/>
      </w:pPr>
    </w:lvl>
    <w:lvl w:ilvl="8" w:tplc="0415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18" w15:restartNumberingAfterBreak="0">
    <w:nsid w:val="4B745949"/>
    <w:multiLevelType w:val="hybridMultilevel"/>
    <w:tmpl w:val="123030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5B3FBA"/>
    <w:multiLevelType w:val="hybridMultilevel"/>
    <w:tmpl w:val="91CA8366"/>
    <w:lvl w:ilvl="0" w:tplc="7AA204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3D61A6"/>
    <w:multiLevelType w:val="multilevel"/>
    <w:tmpl w:val="EE3E4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D47F4C"/>
    <w:multiLevelType w:val="hybridMultilevel"/>
    <w:tmpl w:val="E11EE728"/>
    <w:lvl w:ilvl="0" w:tplc="0415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675520D"/>
    <w:multiLevelType w:val="hybridMultilevel"/>
    <w:tmpl w:val="319CB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B54573"/>
    <w:multiLevelType w:val="hybridMultilevel"/>
    <w:tmpl w:val="08DC1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E62EC7"/>
    <w:multiLevelType w:val="hybridMultilevel"/>
    <w:tmpl w:val="FB940B1A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9B16E06"/>
    <w:multiLevelType w:val="hybridMultilevel"/>
    <w:tmpl w:val="73168BC4"/>
    <w:lvl w:ilvl="0" w:tplc="2970FF94">
      <w:start w:val="1"/>
      <w:numFmt w:val="lowerLetter"/>
      <w:lvlText w:val="%1)"/>
      <w:lvlJc w:val="left"/>
      <w:pPr>
        <w:ind w:left="5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12" w:hanging="360"/>
      </w:pPr>
    </w:lvl>
    <w:lvl w:ilvl="2" w:tplc="0415001B" w:tentative="1">
      <w:start w:val="1"/>
      <w:numFmt w:val="lowerRoman"/>
      <w:lvlText w:val="%3."/>
      <w:lvlJc w:val="right"/>
      <w:pPr>
        <w:ind w:left="2332" w:hanging="180"/>
      </w:pPr>
    </w:lvl>
    <w:lvl w:ilvl="3" w:tplc="0415000F" w:tentative="1">
      <w:start w:val="1"/>
      <w:numFmt w:val="decimal"/>
      <w:lvlText w:val="%4."/>
      <w:lvlJc w:val="left"/>
      <w:pPr>
        <w:ind w:left="3052" w:hanging="360"/>
      </w:pPr>
    </w:lvl>
    <w:lvl w:ilvl="4" w:tplc="04150019" w:tentative="1">
      <w:start w:val="1"/>
      <w:numFmt w:val="lowerLetter"/>
      <w:lvlText w:val="%5."/>
      <w:lvlJc w:val="left"/>
      <w:pPr>
        <w:ind w:left="3772" w:hanging="360"/>
      </w:pPr>
    </w:lvl>
    <w:lvl w:ilvl="5" w:tplc="0415001B" w:tentative="1">
      <w:start w:val="1"/>
      <w:numFmt w:val="lowerRoman"/>
      <w:lvlText w:val="%6."/>
      <w:lvlJc w:val="right"/>
      <w:pPr>
        <w:ind w:left="4492" w:hanging="180"/>
      </w:pPr>
    </w:lvl>
    <w:lvl w:ilvl="6" w:tplc="0415000F" w:tentative="1">
      <w:start w:val="1"/>
      <w:numFmt w:val="decimal"/>
      <w:lvlText w:val="%7."/>
      <w:lvlJc w:val="left"/>
      <w:pPr>
        <w:ind w:left="5212" w:hanging="360"/>
      </w:pPr>
    </w:lvl>
    <w:lvl w:ilvl="7" w:tplc="04150019" w:tentative="1">
      <w:start w:val="1"/>
      <w:numFmt w:val="lowerLetter"/>
      <w:lvlText w:val="%8."/>
      <w:lvlJc w:val="left"/>
      <w:pPr>
        <w:ind w:left="5932" w:hanging="360"/>
      </w:pPr>
    </w:lvl>
    <w:lvl w:ilvl="8" w:tplc="0415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26" w15:restartNumberingAfterBreak="0">
    <w:nsid w:val="76AE3280"/>
    <w:multiLevelType w:val="hybridMultilevel"/>
    <w:tmpl w:val="3A5C6F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894388"/>
    <w:multiLevelType w:val="hybridMultilevel"/>
    <w:tmpl w:val="F1527A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1058EA"/>
    <w:multiLevelType w:val="hybridMultilevel"/>
    <w:tmpl w:val="AD0C13AA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7B2764D7"/>
    <w:multiLevelType w:val="hybridMultilevel"/>
    <w:tmpl w:val="E0FA9C1E"/>
    <w:lvl w:ilvl="0" w:tplc="52EA4D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896A8B"/>
    <w:multiLevelType w:val="hybridMultilevel"/>
    <w:tmpl w:val="527E40F6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4"/>
  </w:num>
  <w:num w:numId="3">
    <w:abstractNumId w:val="12"/>
  </w:num>
  <w:num w:numId="4">
    <w:abstractNumId w:val="21"/>
  </w:num>
  <w:num w:numId="5">
    <w:abstractNumId w:val="28"/>
  </w:num>
  <w:num w:numId="6">
    <w:abstractNumId w:val="17"/>
  </w:num>
  <w:num w:numId="7">
    <w:abstractNumId w:val="3"/>
  </w:num>
  <w:num w:numId="8">
    <w:abstractNumId w:val="30"/>
  </w:num>
  <w:num w:numId="9">
    <w:abstractNumId w:val="9"/>
  </w:num>
  <w:num w:numId="10">
    <w:abstractNumId w:val="11"/>
  </w:num>
  <w:num w:numId="11">
    <w:abstractNumId w:val="13"/>
  </w:num>
  <w:num w:numId="12">
    <w:abstractNumId w:val="26"/>
  </w:num>
  <w:num w:numId="13">
    <w:abstractNumId w:val="18"/>
  </w:num>
  <w:num w:numId="14">
    <w:abstractNumId w:val="22"/>
  </w:num>
  <w:num w:numId="15">
    <w:abstractNumId w:val="25"/>
  </w:num>
  <w:num w:numId="16">
    <w:abstractNumId w:val="23"/>
  </w:num>
  <w:num w:numId="17">
    <w:abstractNumId w:val="4"/>
  </w:num>
  <w:num w:numId="18">
    <w:abstractNumId w:val="15"/>
  </w:num>
  <w:num w:numId="19">
    <w:abstractNumId w:val="29"/>
  </w:num>
  <w:num w:numId="20">
    <w:abstractNumId w:val="19"/>
  </w:num>
  <w:num w:numId="21">
    <w:abstractNumId w:val="2"/>
  </w:num>
  <w:num w:numId="22">
    <w:abstractNumId w:val="14"/>
  </w:num>
  <w:num w:numId="23">
    <w:abstractNumId w:val="16"/>
  </w:num>
  <w:num w:numId="24">
    <w:abstractNumId w:val="8"/>
  </w:num>
  <w:num w:numId="25">
    <w:abstractNumId w:val="10"/>
  </w:num>
  <w:num w:numId="26">
    <w:abstractNumId w:val="5"/>
  </w:num>
  <w:num w:numId="27">
    <w:abstractNumId w:val="20"/>
  </w:num>
  <w:num w:numId="28">
    <w:abstractNumId w:val="1"/>
  </w:num>
  <w:num w:numId="29">
    <w:abstractNumId w:val="7"/>
  </w:num>
  <w:num w:numId="30">
    <w:abstractNumId w:val="27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978"/>
    <w:rsid w:val="00004370"/>
    <w:rsid w:val="000063E6"/>
    <w:rsid w:val="00006678"/>
    <w:rsid w:val="00011F08"/>
    <w:rsid w:val="00026BAB"/>
    <w:rsid w:val="000373BF"/>
    <w:rsid w:val="000703EF"/>
    <w:rsid w:val="000716DD"/>
    <w:rsid w:val="000A3ED4"/>
    <w:rsid w:val="000B2015"/>
    <w:rsid w:val="000B365F"/>
    <w:rsid w:val="000C0A3D"/>
    <w:rsid w:val="000C75F2"/>
    <w:rsid w:val="000D737D"/>
    <w:rsid w:val="000E002B"/>
    <w:rsid w:val="000E5A12"/>
    <w:rsid w:val="000E77CA"/>
    <w:rsid w:val="000F5341"/>
    <w:rsid w:val="00104C54"/>
    <w:rsid w:val="0011106C"/>
    <w:rsid w:val="00120D1F"/>
    <w:rsid w:val="00131250"/>
    <w:rsid w:val="00136ABF"/>
    <w:rsid w:val="0014290C"/>
    <w:rsid w:val="00142EC0"/>
    <w:rsid w:val="001604B4"/>
    <w:rsid w:val="001615F3"/>
    <w:rsid w:val="00162C34"/>
    <w:rsid w:val="001666C4"/>
    <w:rsid w:val="001714C0"/>
    <w:rsid w:val="00181A2F"/>
    <w:rsid w:val="00190367"/>
    <w:rsid w:val="001A1CB9"/>
    <w:rsid w:val="001A6CA2"/>
    <w:rsid w:val="001B2F91"/>
    <w:rsid w:val="001B33C9"/>
    <w:rsid w:val="001D0BEF"/>
    <w:rsid w:val="001E5A09"/>
    <w:rsid w:val="001E5D5E"/>
    <w:rsid w:val="001E62BC"/>
    <w:rsid w:val="001F119A"/>
    <w:rsid w:val="001F5BA2"/>
    <w:rsid w:val="00200C8B"/>
    <w:rsid w:val="00201D6F"/>
    <w:rsid w:val="00202E6E"/>
    <w:rsid w:val="00210876"/>
    <w:rsid w:val="00212585"/>
    <w:rsid w:val="00212726"/>
    <w:rsid w:val="00223386"/>
    <w:rsid w:val="00233490"/>
    <w:rsid w:val="00236467"/>
    <w:rsid w:val="002420FA"/>
    <w:rsid w:val="00245065"/>
    <w:rsid w:val="00247CE0"/>
    <w:rsid w:val="002648D0"/>
    <w:rsid w:val="00266484"/>
    <w:rsid w:val="002700CF"/>
    <w:rsid w:val="002A3A68"/>
    <w:rsid w:val="002B0664"/>
    <w:rsid w:val="002B1D2F"/>
    <w:rsid w:val="002B44C6"/>
    <w:rsid w:val="002D217D"/>
    <w:rsid w:val="002E2E66"/>
    <w:rsid w:val="002F371D"/>
    <w:rsid w:val="0032404E"/>
    <w:rsid w:val="00336911"/>
    <w:rsid w:val="00365DE5"/>
    <w:rsid w:val="00365EC2"/>
    <w:rsid w:val="0036609E"/>
    <w:rsid w:val="00366D9F"/>
    <w:rsid w:val="00377328"/>
    <w:rsid w:val="0038109B"/>
    <w:rsid w:val="00381369"/>
    <w:rsid w:val="00387A68"/>
    <w:rsid w:val="00387C57"/>
    <w:rsid w:val="003A5C1A"/>
    <w:rsid w:val="003B7679"/>
    <w:rsid w:val="003C374E"/>
    <w:rsid w:val="003E26E1"/>
    <w:rsid w:val="003E709F"/>
    <w:rsid w:val="003F2C91"/>
    <w:rsid w:val="00410CE9"/>
    <w:rsid w:val="00421DBD"/>
    <w:rsid w:val="0042348B"/>
    <w:rsid w:val="00426A3F"/>
    <w:rsid w:val="00444FF7"/>
    <w:rsid w:val="00445659"/>
    <w:rsid w:val="00460718"/>
    <w:rsid w:val="00461295"/>
    <w:rsid w:val="004653C6"/>
    <w:rsid w:val="00473CA3"/>
    <w:rsid w:val="004A69E2"/>
    <w:rsid w:val="004B4B41"/>
    <w:rsid w:val="004B5D02"/>
    <w:rsid w:val="004B7362"/>
    <w:rsid w:val="004C0FD3"/>
    <w:rsid w:val="004C4DDA"/>
    <w:rsid w:val="004E1571"/>
    <w:rsid w:val="004F230E"/>
    <w:rsid w:val="00501B72"/>
    <w:rsid w:val="00505548"/>
    <w:rsid w:val="00511F5F"/>
    <w:rsid w:val="00517138"/>
    <w:rsid w:val="00517532"/>
    <w:rsid w:val="00525035"/>
    <w:rsid w:val="0052719D"/>
    <w:rsid w:val="005310B9"/>
    <w:rsid w:val="00537171"/>
    <w:rsid w:val="00537F2F"/>
    <w:rsid w:val="00545222"/>
    <w:rsid w:val="00554927"/>
    <w:rsid w:val="00554F9F"/>
    <w:rsid w:val="0055535C"/>
    <w:rsid w:val="00556BBF"/>
    <w:rsid w:val="00571285"/>
    <w:rsid w:val="00575A90"/>
    <w:rsid w:val="005774BF"/>
    <w:rsid w:val="0059675C"/>
    <w:rsid w:val="005B1F15"/>
    <w:rsid w:val="005B584A"/>
    <w:rsid w:val="005B73B0"/>
    <w:rsid w:val="005F017B"/>
    <w:rsid w:val="005F56D9"/>
    <w:rsid w:val="00621BEB"/>
    <w:rsid w:val="00622A56"/>
    <w:rsid w:val="006231CC"/>
    <w:rsid w:val="00623ECC"/>
    <w:rsid w:val="00633A63"/>
    <w:rsid w:val="00633FF8"/>
    <w:rsid w:val="00635990"/>
    <w:rsid w:val="00650D9B"/>
    <w:rsid w:val="00660471"/>
    <w:rsid w:val="00670CCE"/>
    <w:rsid w:val="00674321"/>
    <w:rsid w:val="0069197C"/>
    <w:rsid w:val="006A463E"/>
    <w:rsid w:val="006C4343"/>
    <w:rsid w:val="006C5ED5"/>
    <w:rsid w:val="006C6EC5"/>
    <w:rsid w:val="006D752C"/>
    <w:rsid w:val="006F16BF"/>
    <w:rsid w:val="006F70F1"/>
    <w:rsid w:val="00716694"/>
    <w:rsid w:val="007218E3"/>
    <w:rsid w:val="00726369"/>
    <w:rsid w:val="0073566C"/>
    <w:rsid w:val="00736EC3"/>
    <w:rsid w:val="00741D52"/>
    <w:rsid w:val="0075080A"/>
    <w:rsid w:val="0076258A"/>
    <w:rsid w:val="0076371F"/>
    <w:rsid w:val="007643DC"/>
    <w:rsid w:val="007711D4"/>
    <w:rsid w:val="00787A69"/>
    <w:rsid w:val="007A2B19"/>
    <w:rsid w:val="007B4B4A"/>
    <w:rsid w:val="007B5BA9"/>
    <w:rsid w:val="007C4EB6"/>
    <w:rsid w:val="007C6409"/>
    <w:rsid w:val="007C7626"/>
    <w:rsid w:val="007E5B3B"/>
    <w:rsid w:val="007F2CA6"/>
    <w:rsid w:val="008106C9"/>
    <w:rsid w:val="00811A8C"/>
    <w:rsid w:val="008255BB"/>
    <w:rsid w:val="008448A1"/>
    <w:rsid w:val="008628DC"/>
    <w:rsid w:val="00867928"/>
    <w:rsid w:val="008745F6"/>
    <w:rsid w:val="00890486"/>
    <w:rsid w:val="00890F16"/>
    <w:rsid w:val="0089531C"/>
    <w:rsid w:val="008A1E4E"/>
    <w:rsid w:val="008A69D5"/>
    <w:rsid w:val="008C215A"/>
    <w:rsid w:val="008C7605"/>
    <w:rsid w:val="008E6868"/>
    <w:rsid w:val="008F4DE6"/>
    <w:rsid w:val="00900024"/>
    <w:rsid w:val="00906738"/>
    <w:rsid w:val="00911C9B"/>
    <w:rsid w:val="0092073F"/>
    <w:rsid w:val="00926AD1"/>
    <w:rsid w:val="009306E8"/>
    <w:rsid w:val="00964F1B"/>
    <w:rsid w:val="00972F58"/>
    <w:rsid w:val="00975642"/>
    <w:rsid w:val="00977BC6"/>
    <w:rsid w:val="00985239"/>
    <w:rsid w:val="00986FD5"/>
    <w:rsid w:val="009A1FFA"/>
    <w:rsid w:val="009B233B"/>
    <w:rsid w:val="009B2903"/>
    <w:rsid w:val="009C301E"/>
    <w:rsid w:val="009C45D1"/>
    <w:rsid w:val="009C5DC1"/>
    <w:rsid w:val="009D3FC9"/>
    <w:rsid w:val="009D725A"/>
    <w:rsid w:val="009E00F3"/>
    <w:rsid w:val="009F4549"/>
    <w:rsid w:val="009F76A0"/>
    <w:rsid w:val="00A11C40"/>
    <w:rsid w:val="00A402BD"/>
    <w:rsid w:val="00A41F0C"/>
    <w:rsid w:val="00A45978"/>
    <w:rsid w:val="00A61B8B"/>
    <w:rsid w:val="00A62AFB"/>
    <w:rsid w:val="00A66EA4"/>
    <w:rsid w:val="00A83B09"/>
    <w:rsid w:val="00A9057F"/>
    <w:rsid w:val="00A927ED"/>
    <w:rsid w:val="00A96FD6"/>
    <w:rsid w:val="00AA0EBA"/>
    <w:rsid w:val="00AA4A5F"/>
    <w:rsid w:val="00AA6D87"/>
    <w:rsid w:val="00AB3E94"/>
    <w:rsid w:val="00AC5C64"/>
    <w:rsid w:val="00AE0213"/>
    <w:rsid w:val="00AE7835"/>
    <w:rsid w:val="00B004C6"/>
    <w:rsid w:val="00B07C2E"/>
    <w:rsid w:val="00B1227D"/>
    <w:rsid w:val="00B23C9A"/>
    <w:rsid w:val="00B45C15"/>
    <w:rsid w:val="00B470ED"/>
    <w:rsid w:val="00B525C3"/>
    <w:rsid w:val="00B5712D"/>
    <w:rsid w:val="00B66E55"/>
    <w:rsid w:val="00B70C1A"/>
    <w:rsid w:val="00B7318F"/>
    <w:rsid w:val="00B73373"/>
    <w:rsid w:val="00B74EA0"/>
    <w:rsid w:val="00B773BF"/>
    <w:rsid w:val="00B86A0A"/>
    <w:rsid w:val="00B93C2F"/>
    <w:rsid w:val="00B95219"/>
    <w:rsid w:val="00BB6193"/>
    <w:rsid w:val="00BD2D3D"/>
    <w:rsid w:val="00BE2973"/>
    <w:rsid w:val="00BF2850"/>
    <w:rsid w:val="00C238AD"/>
    <w:rsid w:val="00C3119C"/>
    <w:rsid w:val="00C4682B"/>
    <w:rsid w:val="00C67FEA"/>
    <w:rsid w:val="00C73527"/>
    <w:rsid w:val="00C74082"/>
    <w:rsid w:val="00C81FAA"/>
    <w:rsid w:val="00C87153"/>
    <w:rsid w:val="00C92EBD"/>
    <w:rsid w:val="00CA4900"/>
    <w:rsid w:val="00CB0F6D"/>
    <w:rsid w:val="00CB585F"/>
    <w:rsid w:val="00CC1B17"/>
    <w:rsid w:val="00CD15FE"/>
    <w:rsid w:val="00CE1FF2"/>
    <w:rsid w:val="00CF48DA"/>
    <w:rsid w:val="00D031FC"/>
    <w:rsid w:val="00D15002"/>
    <w:rsid w:val="00D2605E"/>
    <w:rsid w:val="00D3567F"/>
    <w:rsid w:val="00D373BA"/>
    <w:rsid w:val="00D61984"/>
    <w:rsid w:val="00D62900"/>
    <w:rsid w:val="00D735AE"/>
    <w:rsid w:val="00DA1E78"/>
    <w:rsid w:val="00DA3639"/>
    <w:rsid w:val="00DA5617"/>
    <w:rsid w:val="00DA6D24"/>
    <w:rsid w:val="00DA78FB"/>
    <w:rsid w:val="00DB3BAA"/>
    <w:rsid w:val="00E1093A"/>
    <w:rsid w:val="00E25F36"/>
    <w:rsid w:val="00E2769D"/>
    <w:rsid w:val="00E2775B"/>
    <w:rsid w:val="00E323CB"/>
    <w:rsid w:val="00E33410"/>
    <w:rsid w:val="00E753EE"/>
    <w:rsid w:val="00E97ABC"/>
    <w:rsid w:val="00EB0544"/>
    <w:rsid w:val="00EB4E1A"/>
    <w:rsid w:val="00EB6940"/>
    <w:rsid w:val="00EB7C09"/>
    <w:rsid w:val="00ED1961"/>
    <w:rsid w:val="00ED72CF"/>
    <w:rsid w:val="00EE7889"/>
    <w:rsid w:val="00EF5A89"/>
    <w:rsid w:val="00F07D92"/>
    <w:rsid w:val="00F11DB3"/>
    <w:rsid w:val="00F302C1"/>
    <w:rsid w:val="00F44324"/>
    <w:rsid w:val="00F55AD8"/>
    <w:rsid w:val="00F5699C"/>
    <w:rsid w:val="00F60950"/>
    <w:rsid w:val="00F60E8C"/>
    <w:rsid w:val="00F72292"/>
    <w:rsid w:val="00F75779"/>
    <w:rsid w:val="00F843F5"/>
    <w:rsid w:val="00F85998"/>
    <w:rsid w:val="00F96D0D"/>
    <w:rsid w:val="00FA33C7"/>
    <w:rsid w:val="00FB6092"/>
    <w:rsid w:val="00FE023E"/>
    <w:rsid w:val="00FE1D4E"/>
    <w:rsid w:val="00FE3221"/>
    <w:rsid w:val="00FE4590"/>
    <w:rsid w:val="00FF0A95"/>
    <w:rsid w:val="00FF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DE5579"/>
  <w15:docId w15:val="{10537FFD-D108-47F8-AEFF-83B73A959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C4682B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aliases w:val="tekst PWr"/>
    <w:basedOn w:val="Normalny"/>
    <w:next w:val="Normalny"/>
    <w:link w:val="Nagwek1Znak"/>
    <w:uiPriority w:val="9"/>
    <w:qFormat/>
    <w:rsid w:val="00233490"/>
    <w:pPr>
      <w:spacing w:before="240" w:line="360" w:lineRule="auto"/>
      <w:outlineLvl w:val="0"/>
    </w:pPr>
    <w:rPr>
      <w:rFonts w:asciiTheme="minorHAnsi" w:hAnsiTheme="minorHAnsi"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408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1C40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NagwekZnak">
    <w:name w:val="Nagłówek Znak"/>
    <w:link w:val="Nagwek"/>
    <w:uiPriority w:val="99"/>
    <w:rsid w:val="00A11C40"/>
    <w:rPr>
      <w:rFonts w:eastAsia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11C40"/>
    <w:pPr>
      <w:tabs>
        <w:tab w:val="center" w:pos="4536"/>
        <w:tab w:val="right" w:pos="9072"/>
      </w:tabs>
    </w:pPr>
    <w:rPr>
      <w:rFonts w:ascii="Calibri" w:hAnsi="Calibri"/>
      <w:sz w:val="22"/>
      <w:szCs w:val="22"/>
    </w:rPr>
  </w:style>
  <w:style w:type="character" w:customStyle="1" w:styleId="StopkaZnak">
    <w:name w:val="Stopka Znak"/>
    <w:link w:val="Stopka"/>
    <w:uiPriority w:val="99"/>
    <w:rsid w:val="00A11C40"/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109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8109B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Podstawowyakapitowy">
    <w:name w:val="[Podstawowy akapitowy]"/>
    <w:basedOn w:val="Normalny"/>
    <w:uiPriority w:val="99"/>
    <w:rsid w:val="009B2903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Calibri" w:hAnsi="Minion Pro" w:cs="Minion Pro"/>
      <w:color w:val="000000"/>
    </w:rPr>
  </w:style>
  <w:style w:type="paragraph" w:styleId="Bezodstpw">
    <w:name w:val="No Spacing"/>
    <w:aliases w:val="nagłówek PWr"/>
    <w:basedOn w:val="Normalny"/>
    <w:link w:val="BezodstpwZnak"/>
    <w:uiPriority w:val="1"/>
    <w:qFormat/>
    <w:rsid w:val="00233490"/>
    <w:pPr>
      <w:spacing w:line="276" w:lineRule="auto"/>
    </w:pPr>
    <w:rPr>
      <w:rFonts w:asciiTheme="minorHAnsi" w:hAnsiTheme="minorHAnsi"/>
      <w:bCs/>
      <w:sz w:val="20"/>
      <w:szCs w:val="20"/>
    </w:rPr>
  </w:style>
  <w:style w:type="character" w:customStyle="1" w:styleId="BezodstpwZnak">
    <w:name w:val="Bez odstępów Znak"/>
    <w:aliases w:val="nagłówek PWr Znak"/>
    <w:basedOn w:val="Domylnaczcionkaakapitu"/>
    <w:link w:val="Bezodstpw"/>
    <w:uiPriority w:val="1"/>
    <w:rsid w:val="00233490"/>
    <w:rPr>
      <w:rFonts w:asciiTheme="minorHAnsi" w:eastAsia="Times New Roman" w:hAnsiTheme="minorHAnsi"/>
      <w:bCs/>
    </w:rPr>
  </w:style>
  <w:style w:type="character" w:customStyle="1" w:styleId="Nagwek1Znak">
    <w:name w:val="Nagłówek 1 Znak"/>
    <w:aliases w:val="tekst PWr Znak"/>
    <w:basedOn w:val="Domylnaczcionkaakapitu"/>
    <w:link w:val="Nagwek1"/>
    <w:uiPriority w:val="9"/>
    <w:rsid w:val="00233490"/>
    <w:rPr>
      <w:rFonts w:asciiTheme="minorHAnsi" w:eastAsia="Times New Roman" w:hAnsiTheme="minorHAnsi"/>
      <w:bCs/>
    </w:rPr>
  </w:style>
  <w:style w:type="paragraph" w:styleId="Tytu">
    <w:name w:val="Title"/>
    <w:aliases w:val="podpis Pwr"/>
    <w:basedOn w:val="Normalny"/>
    <w:next w:val="Normalny"/>
    <w:link w:val="TytuZnak"/>
    <w:uiPriority w:val="10"/>
    <w:qFormat/>
    <w:rsid w:val="00233490"/>
    <w:pPr>
      <w:tabs>
        <w:tab w:val="left" w:pos="5103"/>
      </w:tabs>
      <w:spacing w:line="360" w:lineRule="auto"/>
    </w:pPr>
    <w:rPr>
      <w:rFonts w:asciiTheme="minorHAnsi" w:hAnsiTheme="minorHAnsi"/>
      <w:bCs/>
      <w:sz w:val="20"/>
      <w:szCs w:val="20"/>
    </w:rPr>
  </w:style>
  <w:style w:type="character" w:customStyle="1" w:styleId="TytuZnak">
    <w:name w:val="Tytuł Znak"/>
    <w:aliases w:val="podpis Pwr Znak"/>
    <w:basedOn w:val="Domylnaczcionkaakapitu"/>
    <w:link w:val="Tytu"/>
    <w:uiPriority w:val="10"/>
    <w:rsid w:val="00233490"/>
    <w:rPr>
      <w:rFonts w:asciiTheme="minorHAnsi" w:eastAsia="Times New Roman" w:hAnsiTheme="minorHAnsi"/>
      <w:bCs/>
    </w:rPr>
  </w:style>
  <w:style w:type="paragraph" w:styleId="Podtytu">
    <w:name w:val="Subtitle"/>
    <w:aliases w:val="numer PWr"/>
    <w:basedOn w:val="Normalny"/>
    <w:next w:val="Normalny"/>
    <w:link w:val="PodtytuZnak"/>
    <w:uiPriority w:val="11"/>
    <w:qFormat/>
    <w:rsid w:val="00233490"/>
    <w:pPr>
      <w:spacing w:line="276" w:lineRule="auto"/>
      <w:jc w:val="right"/>
    </w:pPr>
    <w:rPr>
      <w:rFonts w:asciiTheme="minorHAnsi" w:hAnsiTheme="minorHAnsi"/>
      <w:bCs/>
      <w:sz w:val="20"/>
      <w:szCs w:val="20"/>
    </w:rPr>
  </w:style>
  <w:style w:type="character" w:customStyle="1" w:styleId="PodtytuZnak">
    <w:name w:val="Podtytuł Znak"/>
    <w:aliases w:val="numer PWr Znak"/>
    <w:basedOn w:val="Domylnaczcionkaakapitu"/>
    <w:link w:val="Podtytu"/>
    <w:uiPriority w:val="11"/>
    <w:rsid w:val="00233490"/>
    <w:rPr>
      <w:rFonts w:asciiTheme="minorHAnsi" w:eastAsia="Times New Roman" w:hAnsiTheme="minorHAnsi"/>
      <w:bCs/>
    </w:rPr>
  </w:style>
  <w:style w:type="paragraph" w:styleId="Akapitzlist">
    <w:name w:val="List Paragraph"/>
    <w:basedOn w:val="Normalny"/>
    <w:uiPriority w:val="34"/>
    <w:qFormat/>
    <w:rsid w:val="0038136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223386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223386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408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75080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508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wona\AppData\Local\Temp\papier%20firmowy_Wydzia&#322;%20Budownictwa%20L&#261;dowego%20i%20Wodnego%20pl-1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68D21-3E61-4307-9F1B-92021F067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firmowy_Wydział Budownictwa Lądowego i Wodnego pl-1</Template>
  <TotalTime>1</TotalTime>
  <Pages>2</Pages>
  <Words>415</Words>
  <Characters>2495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</dc:creator>
  <cp:lastModifiedBy>Anna Domańska</cp:lastModifiedBy>
  <cp:revision>2</cp:revision>
  <cp:lastPrinted>2024-05-20T06:35:00Z</cp:lastPrinted>
  <dcterms:created xsi:type="dcterms:W3CDTF">2026-11-03T12:40:00Z</dcterms:created>
  <dcterms:modified xsi:type="dcterms:W3CDTF">2026-11-03T12:40:00Z</dcterms:modified>
</cp:coreProperties>
</file>